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0CBF" w:rsidRDefault="009165BF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re</w:t>
            </w:r>
            <w:bookmarkStart w:id="0" w:name="_GoBack"/>
            <w:bookmarkEnd w:id="0"/>
            <w:r w:rsidR="00F50CBF">
              <w:rPr>
                <w:b/>
                <w:bCs/>
                <w:caps/>
                <w:color w:val="FF0000"/>
                <w:sz w:val="24"/>
              </w:rPr>
              <w:t xml:space="preserve">vitalizace vinohradského potoka v km 0,360 – 0,475, </w:t>
            </w:r>
          </w:p>
          <w:p w:rsidR="000C5AE1" w:rsidRPr="003239CB" w:rsidRDefault="00F50CBF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k.ú.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12578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260316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260316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26031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</w:t>
            </w:r>
            <w:r w:rsidR="00260316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12578"/>
    <w:rsid w:val="00221794"/>
    <w:rsid w:val="00221F90"/>
    <w:rsid w:val="00223B8C"/>
    <w:rsid w:val="002269FE"/>
    <w:rsid w:val="00242F21"/>
    <w:rsid w:val="0025072A"/>
    <w:rsid w:val="00251B99"/>
    <w:rsid w:val="00253C54"/>
    <w:rsid w:val="00260316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65BF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4389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0CBF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97FAB-8867-4CBB-8DC2-A6CB66A80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258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16</cp:revision>
  <cp:lastPrinted>2022-09-06T08:53:00Z</cp:lastPrinted>
  <dcterms:created xsi:type="dcterms:W3CDTF">2022-04-19T07:02:00Z</dcterms:created>
  <dcterms:modified xsi:type="dcterms:W3CDTF">2023-06-28T10:07:00Z</dcterms:modified>
</cp:coreProperties>
</file>